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Verklebung von Fensteranschlussfolien am Baukörper</w:t>
      </w:r>
    </w:p>
    <w:p>
      <w:pPr>
        <w:pStyle w:val="Normal"/>
      </w:pPr>
      <w:r>
        <w:t xml:space="preserve">Ausschreibungstext · Version 1.1</w:t>
      </w:r>
    </w:p>
    <w:p>
      <w:pPr>
        <w:pStyle w:val="Normal"/>
      </w:pPr>
      <w:r>
        <w:t xml:space="preserve">Ausschreibungstext für die dauerhafte flexible Verklebung von Fensteranschlussfolien auf geeigneten Rahmen- und Baukörperuntergründen.</w:t>
      </w:r>
    </w:p>
    <w:p>
      <w:pPr>
        <w:pStyle w:val="Heading1"/>
      </w:pPr>
      <w:r>
        <w:t xml:space="preserve">Leistungsprofil</w:t>
      </w:r>
    </w:p>
    <w:p>
      <w:pPr>
        <w:pStyle w:val="Normal"/>
      </w:pPr>
      <w:r>
        <w:t xml:space="preserve">Leistungsart: Fensteranschlussfolie dauerhaft verkleben</w:t>
      </w:r>
    </w:p>
    <w:p>
      <w:pPr>
        <w:pStyle w:val="Normal"/>
      </w:pPr>
      <w:r>
        <w:t xml:space="preserve">Bauteil: Fenster / Außentür / Baukörperanschluss · Folienverklebung</w:t>
      </w:r>
    </w:p>
    <w:p>
      <w:pPr>
        <w:pStyle w:val="Normal"/>
      </w:pPr>
      <w:r>
        <w:t xml:space="preserve">Funktion: Dauerhaft flexible Verklebung der Anschlussfolie auf Rahmen und Baukörper</w:t>
      </w:r>
    </w:p>
    <w:p>
      <w:pPr>
        <w:pStyle w:val="Heading1"/>
      </w:pPr>
      <w:r>
        <w:t xml:space="preserve">Ausschreibungstext</w:t>
      </w:r>
    </w:p>
    <w:p>
      <w:pPr>
        <w:pStyle w:val="Normal"/>
      </w:pPr>
      <w:r>
        <w:t xml:space="preserve">Verklebung von Fensteranschlussfolien am Baukörper</w:t>
      </w:r>
    </w:p>
    <w:p>
      <w:pPr>
        <w:pStyle w:val="Normal"/>
      </w:pPr>
      <w:r>
        <w:t xml:space="preserve"/>
      </w:r>
    </w:p>
    <w:p>
      <w:pPr>
        <w:pStyle w:val="Normal"/>
      </w:pPr>
      <w:r>
        <w:t xml:space="preserve">Fensteranschlussfolie mit einem geeigneten einkomponentigen dauerelastischen Montage- und Folienklebstoff auf dem vorgesehenen Baukörper- bzw. Rahmenuntergrund verkleben.</w:t>
      </w:r>
    </w:p>
    <w:p>
      <w:pPr>
        <w:pStyle w:val="Normal"/>
      </w:pPr>
      <w:r>
        <w:t xml:space="preserve"/>
      </w:r>
    </w:p>
    <w:p>
      <w:pPr>
        <w:pStyle w:val="Normal"/>
      </w:pPr>
      <w:r>
        <w:t xml:space="preserve">Untergrund auf Tragfähigkeit, Sauberkeit und Eignung prüfen und entsprechend den Produktvorgaben vorbereiten. Klebstoff so auftragen und Folie so anpressen, dass eine dauerhaft geschlossene und funktionsgerechte Klebezone entsteht. Erforderliche Bewegungsaufnahme und Klebstoffschicht entsprechend Anschlussdetail und Herstellerangaben berücksichtigen.</w:t>
      </w:r>
    </w:p>
    <w:p>
      <w:pPr>
        <w:pStyle w:val="Normal"/>
      </w:pPr>
      <w:r>
        <w:t xml:space="preserve"/>
      </w:r>
    </w:p>
    <w:p>
      <w:pPr>
        <w:pStyle w:val="Normal"/>
      </w:pPr>
      <w:r>
        <w:t xml:space="preserve">Technische Mindestanforderungen:</w:t>
      </w:r>
    </w:p>
    <w:p>
      <w:pPr>
        <w:pStyle w:val="Normal"/>
      </w:pPr>
      <w:r>
        <w:t xml:space="preserve">- einkomponentiger Montage- und Folienklebstoff auf Hybridbasis</w:t>
      </w:r>
    </w:p>
    <w:p>
      <w:pPr>
        <w:pStyle w:val="Normal"/>
      </w:pPr>
      <w:r>
        <w:t xml:space="preserve">- dauerelastische und flexible Verklebung</w:t>
      </w:r>
    </w:p>
    <w:p>
      <w:pPr>
        <w:pStyle w:val="Normal"/>
      </w:pPr>
      <w:r>
        <w:t xml:space="preserve">- Hautbildung ca. 10 Minuten</w:t>
      </w:r>
    </w:p>
    <w:p>
      <w:pPr>
        <w:pStyle w:val="Normal"/>
      </w:pPr>
      <w:r>
        <w:t xml:space="preserve">- überstreichbar</w:t>
      </w:r>
    </w:p>
    <w:p>
      <w:pPr>
        <w:pStyle w:val="Normal"/>
      </w:pPr>
      <w:r>
        <w:t xml:space="preserve">- zulässige Gesamtverformung 25 % nach ISO 11600</w:t>
      </w:r>
    </w:p>
    <w:p>
      <w:pPr>
        <w:pStyle w:val="Normal"/>
      </w:pPr>
      <w:r>
        <w:t xml:space="preserve">- schrumpffrei</w:t>
      </w:r>
    </w:p>
    <w:p>
      <w:pPr>
        <w:pStyle w:val="Normal"/>
      </w:pPr>
      <w:r>
        <w:t xml:space="preserve">- schall- und vibrationsdämpfend</w:t>
      </w:r>
    </w:p>
    <w:p>
      <w:pPr>
        <w:pStyle w:val="Normal"/>
      </w:pPr>
      <w:r>
        <w:t xml:space="preserve">- für Innen- und Außenbereich entsprechend Produktfreigabe</w:t>
      </w:r>
    </w:p>
    <w:p>
      <w:pPr>
        <w:pStyle w:val="Normal"/>
      </w:pPr>
      <w:r>
        <w:t xml:space="preserve">- geeignet insbesondere zur Verklebung von TOPFORM Fensterfolien</w:t>
      </w:r>
    </w:p>
    <w:p>
      <w:pPr>
        <w:pStyle w:val="Normal"/>
      </w:pPr>
      <w:r>
        <w:t xml:space="preserve"/>
      </w:r>
    </w:p>
    <w:p>
      <w:pPr>
        <w:pStyle w:val="Normal"/>
      </w:pPr>
      <w:r>
        <w:t xml:space="preserve">Produktvorschlag:</w:t>
      </w:r>
    </w:p>
    <w:p>
      <w:pPr>
        <w:pStyle w:val="Normal"/>
      </w:pPr>
      <w:r>
        <w:t xml:space="preserve">TOPFORM Montage- und Folienkleber 290 ml / 600 ml oder gleichwertig.</w:t>
      </w:r>
    </w:p>
    <w:p>
      <w:pPr>
        <w:pStyle w:val="Normal"/>
      </w:pPr>
      <w:r>
        <w:t xml:space="preserve"/>
      </w:r>
    </w:p>
    <w:p>
      <w:pPr>
        <w:pStyle w:val="Normal"/>
      </w:pPr>
      <w:r>
        <w:t xml:space="preserve">Verarbeitung gemäß aktuellem technischen Datenblatt und Herstellerangaben.</w:t>
      </w:r>
    </w:p>
    <w:p>
      <w:pPr>
        <w:pStyle w:val="Heading1"/>
      </w:pPr>
      <w:r>
        <w:t xml:space="preserve">Passende TOPFORM Produktfamilien</w:t>
      </w:r>
    </w:p>
    <w:p>
      <w:pPr>
        <w:pStyle w:val="Normal"/>
      </w:pPr>
      <w:r>
        <w:t xml:space="preserve">• Folienkleber</w:t>
      </w:r>
    </w:p>
    <w:sectPr>
      <w:pgSz w:w="11906" w:h="16838"/>
      <w:pgMar w:top="1134" w:right="1134" w:bottom="1134" w:left="1134"/>
    </w:sectPr>
  </w:body>
</w:document>
</file>

<file path=word/styles.xml><?xml version="1.0" encoding="utf-8"?>
<w:styles xmlns:w="http://schemas.openxmlformats.org/wordprocessingml/2006/main">
  <w:style w:type="paragraph" w:default="1" w:styleId="Normal">
    <w:name w:val="Normal"/>
    <w:rPr>
      <w:rFonts w:ascii="Arial" w:hAnsi="Arial"/>
      <w:sz w:val="22"/>
    </w:rPr>
  </w:style>
  <w:style w:type="paragraph" w:styleId="Title">
    <w:name w:val="Title"/>
    <w:rPr>
      <w:b/>
      <w:rFonts w:ascii="Arial" w:hAnsi="Arial"/>
      <w:sz w:val="34"/>
    </w:rPr>
  </w:style>
  <w:style w:type="paragraph" w:styleId="Heading1">
    <w:name w:val="heading 1"/>
    <w:rPr>
      <w:b/>
      <w:rFonts w:ascii="Arial" w:hAnsi="Arial"/>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