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Montagebauteile mit 1K-Hybrid-Montagekleber verkleben</w:t>
      </w:r>
    </w:p>
    <w:p>
      <w:pPr>
        <w:pStyle w:val="Normal"/>
      </w:pPr>
      <w:r>
        <w:t xml:space="preserve">Ausschreibungstext · Version 1.1</w:t>
      </w:r>
    </w:p>
    <w:p>
      <w:pPr>
        <w:pStyle w:val="Normal"/>
      </w:pPr>
      <w:r>
        <w:t xml:space="preserve">Ausschreibungstext für hoch belastbare Montageklebungen mit einkomponentigem Hybrid-Montageklebstoff und hoher Anfangshaftung.</w:t>
      </w:r>
    </w:p>
    <w:p>
      <w:pPr>
        <w:pStyle w:val="Heading1"/>
      </w:pPr>
      <w:r>
        <w:t xml:space="preserve">Leistungsprofil</w:t>
      </w:r>
    </w:p>
    <w:p>
      <w:pPr>
        <w:pStyle w:val="Normal"/>
      </w:pPr>
      <w:r>
        <w:t xml:space="preserve">Leistungsart: Montagebauteile hochfest verkleben</w:t>
      </w:r>
    </w:p>
    <w:p>
      <w:pPr>
        <w:pStyle w:val="Normal"/>
      </w:pPr>
      <w:r>
        <w:t xml:space="preserve">Bauteil: Montagebauteile / Profile / Leisten · Klebeverbindung</w:t>
      </w:r>
    </w:p>
    <w:p>
      <w:pPr>
        <w:pStyle w:val="Normal"/>
      </w:pPr>
      <w:r>
        <w:t xml:space="preserve">Funktion: Dauerhafte Montageklebung mit hoher Anfangshaftung</w:t>
      </w:r>
    </w:p>
    <w:p>
      <w:pPr>
        <w:pStyle w:val="Heading1"/>
      </w:pPr>
      <w:r>
        <w:t xml:space="preserve">Ausschreibungstext</w:t>
      </w:r>
    </w:p>
    <w:p>
      <w:pPr>
        <w:pStyle w:val="Normal"/>
      </w:pPr>
      <w:r>
        <w:t xml:space="preserve">Montagebauteile mit 1K-Hybrid-Montagekleber verkleben</w:t>
      </w:r>
    </w:p>
    <w:p>
      <w:pPr>
        <w:pStyle w:val="Normal"/>
      </w:pPr>
      <w:r>
        <w:t xml:space="preserve"/>
      </w:r>
    </w:p>
    <w:p>
      <w:pPr>
        <w:pStyle w:val="Normal"/>
      </w:pPr>
      <w:r>
        <w:t xml:space="preserve">Vorgesehene Montagebauteile auf geeigneten Untergründen mit einem einkomponentigen Hybrid-Montageklebstoff mit hoher Anfangshaftung dauerhaft verkleben.</w:t>
      </w:r>
    </w:p>
    <w:p>
      <w:pPr>
        <w:pStyle w:val="Normal"/>
      </w:pPr>
      <w:r>
        <w:t xml:space="preserve"/>
      </w:r>
    </w:p>
    <w:p>
      <w:pPr>
        <w:pStyle w:val="Normal"/>
      </w:pPr>
      <w:r>
        <w:t xml:space="preserve">Untergründe müssen tragfähig, sauber und für die vorgesehene Verklebung geeignet sein. Klebstoff entsprechend Bauteilgeometrie und Belastung auftragen, Bauteile innerhalb der Verarbeitungszeit positionieren und bis zum Erreichen der erforderlichen Festigkeit gegen Verschieben sichern.</w:t>
      </w:r>
    </w:p>
    <w:p>
      <w:pPr>
        <w:pStyle w:val="Normal"/>
      </w:pPr>
      <w:r>
        <w:t xml:space="preserve"/>
      </w:r>
    </w:p>
    <w:p>
      <w:pPr>
        <w:pStyle w:val="Normal"/>
      </w:pPr>
      <w:r>
        <w:t xml:space="preserve">Technische Mindestanforderungen:</w:t>
      </w:r>
    </w:p>
    <w:p>
      <w:pPr>
        <w:pStyle w:val="Normal"/>
      </w:pPr>
      <w:r>
        <w:t xml:space="preserve">- einkomponentiger Montageklebstoff auf Hybridbasis</w:t>
      </w:r>
    </w:p>
    <w:p>
      <w:pPr>
        <w:pStyle w:val="Normal"/>
      </w:pPr>
      <w:r>
        <w:t xml:space="preserve">- sehr hohe Anfangshaftung</w:t>
      </w:r>
    </w:p>
    <w:p>
      <w:pPr>
        <w:pStyle w:val="Normal"/>
      </w:pPr>
      <w:r>
        <w:t xml:space="preserve">- Aushärtung ca. 3 mm/Tag</w:t>
      </w:r>
    </w:p>
    <w:p>
      <w:pPr>
        <w:pStyle w:val="Normal"/>
      </w:pPr>
      <w:r>
        <w:t xml:space="preserve">- Verarbeitungstemperatur +5 °C bis +40 °C</w:t>
      </w:r>
    </w:p>
    <w:p>
      <w:pPr>
        <w:pStyle w:val="Normal"/>
      </w:pPr>
      <w:r>
        <w:t xml:space="preserve">- Temperaturbeständigkeit -40 °C bis +100 °C</w:t>
      </w:r>
    </w:p>
    <w:p>
      <w:pPr>
        <w:pStyle w:val="Normal"/>
      </w:pPr>
      <w:r>
        <w:t xml:space="preserve">- gute Spaltüberbrückung bis 20 mm</w:t>
      </w:r>
    </w:p>
    <w:p>
      <w:pPr>
        <w:pStyle w:val="Normal"/>
      </w:pPr>
      <w:r>
        <w:t xml:space="preserve">- witterungs- und alterungsbeständig</w:t>
      </w:r>
    </w:p>
    <w:p>
      <w:pPr>
        <w:pStyle w:val="Normal"/>
      </w:pPr>
      <w:r>
        <w:t xml:space="preserve">- für Innen- und Außenbereich</w:t>
      </w:r>
    </w:p>
    <w:p>
      <w:pPr>
        <w:pStyle w:val="Normal"/>
      </w:pPr>
      <w:r>
        <w:t xml:space="preserve">- überstreich- und schleifbar</w:t>
      </w:r>
    </w:p>
    <w:p>
      <w:pPr>
        <w:pStyle w:val="Normal"/>
      </w:pPr>
      <w:r>
        <w:t xml:space="preserve">- isocyanat-, lösungsmittel- und silikonfrei</w:t>
      </w:r>
    </w:p>
    <w:p>
      <w:pPr>
        <w:pStyle w:val="Normal"/>
      </w:pPr>
      <w:r>
        <w:t xml:space="preserve">- EMICODE EC1 PLUS</w:t>
      </w:r>
    </w:p>
    <w:p>
      <w:pPr>
        <w:pStyle w:val="Normal"/>
      </w:pPr>
      <w:r>
        <w:t xml:space="preserve">- für Natursteinverklebungen geeignet</w:t>
      </w:r>
    </w:p>
    <w:p>
      <w:pPr>
        <w:pStyle w:val="Normal"/>
      </w:pPr>
      <w:r>
        <w:t xml:space="preserve"/>
      </w:r>
    </w:p>
    <w:p>
      <w:pPr>
        <w:pStyle w:val="Normal"/>
      </w:pPr>
      <w:r>
        <w:t xml:space="preserve">Produktvorschlag:</w:t>
      </w:r>
    </w:p>
    <w:p>
      <w:pPr>
        <w:pStyle w:val="Normal"/>
      </w:pPr>
      <w:r>
        <w:t xml:space="preserve">TOPFORM Montagekleber TOPKRAFT oder gleichwertig.</w:t>
      </w:r>
    </w:p>
    <w:p>
      <w:pPr>
        <w:pStyle w:val="Normal"/>
      </w:pPr>
      <w:r>
        <w:t xml:space="preserve"/>
      </w:r>
    </w:p>
    <w:p>
      <w:pPr>
        <w:pStyle w:val="Normal"/>
      </w:pPr>
      <w:r>
        <w:t xml:space="preserve">Verarbeitung gemäß aktuellem technischen Datenblatt und Herstellerangaben.</w:t>
      </w:r>
    </w:p>
    <w:p>
      <w:pPr>
        <w:pStyle w:val="Heading1"/>
      </w:pPr>
      <w:r>
        <w:t xml:space="preserve">Passende TOPFORM Produktfamilien</w:t>
      </w:r>
    </w:p>
    <w:p>
      <w:pPr>
        <w:pStyle w:val="Normal"/>
      </w:pPr>
      <w:r>
        <w:t xml:space="preserve">• Montagekleber</w:t>
      </w:r>
    </w:p>
    <w:sectPr>
      <w:pgSz w:w="11906" w:h="16838"/>
      <w:pgMar w:top="1134" w:right="1134" w:bottom="1134" w:left="1134"/>
    </w:sectPr>
  </w:body>
</w:document>
</file>

<file path=word/styles.xml><?xml version="1.0" encoding="utf-8"?>
<w:styles xmlns:w="http://schemas.openxmlformats.org/wordprocessingml/2006/main">
  <w:style w:type="paragraph" w:default="1" w:styleId="Normal">
    <w:name w:val="Normal"/>
    <w:rPr>
      <w:rFonts w:ascii="Arial" w:hAnsi="Arial"/>
      <w:sz w:val="22"/>
    </w:rPr>
  </w:style>
  <w:style w:type="paragraph" w:styleId="Title">
    <w:name w:val="Title"/>
    <w:rPr>
      <w:b/>
      <w:rFonts w:ascii="Arial" w:hAnsi="Arial"/>
      <w:sz w:val="34"/>
    </w:rPr>
  </w:style>
  <w:style w:type="paragraph" w:styleId="Heading1">
    <w:name w:val="heading 1"/>
    <w:rPr>
      <w:b/>
      <w:rFonts w:ascii="Arial" w:hAnsi="Arial"/>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