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Fenster- und Türelemente bei der Montage positionieren und ausrichten</w:t>
      </w:r>
    </w:p>
    <w:p>
      <w:pPr>
        <w:pStyle w:val="Normal"/>
      </w:pPr>
      <w:r>
        <w:t xml:space="preserve">Ausschreibungstext · Version 1.1</w:t>
      </w:r>
    </w:p>
    <w:p>
      <w:pPr>
        <w:pStyle w:val="Normal"/>
      </w:pPr>
      <w:r>
        <w:t xml:space="preserve">Ausschreibungstext für das kontrollierte Positionieren und Ausrichten von Fenster- und Türelementen mit wiederverwendbarer TOPFORM Fenstermontagehilfe.</w:t>
      </w:r>
    </w:p>
    <w:p>
      <w:pPr>
        <w:pStyle w:val="Heading1"/>
      </w:pPr>
      <w:r>
        <w:t xml:space="preserve">Leistungsprofil</w:t>
      </w:r>
    </w:p>
    <w:p>
      <w:pPr>
        <w:pStyle w:val="Normal"/>
      </w:pPr>
      <w:r>
        <w:t xml:space="preserve">Leistungsart: Fenster- und Türelemente temporär positionieren und ausrichten</w:t>
      </w:r>
    </w:p>
    <w:p>
      <w:pPr>
        <w:pStyle w:val="Normal"/>
      </w:pPr>
      <w:r>
        <w:t xml:space="preserve">Bauteil: Fenster / Tür · Montage in der Bauöffnung</w:t>
      </w:r>
    </w:p>
    <w:p>
      <w:pPr>
        <w:pStyle w:val="Normal"/>
      </w:pPr>
      <w:r>
        <w:t xml:space="preserve">Funktion: Temporäres Halten und stufenloses Ausrichten vor der dauerhaften Befestigung</w:t>
      </w:r>
    </w:p>
    <w:p>
      <w:pPr>
        <w:pStyle w:val="Heading1"/>
      </w:pPr>
      <w:r>
        <w:t xml:space="preserve">Ausschreibungstext</w:t>
      </w:r>
    </w:p>
    <w:p>
      <w:pPr>
        <w:pStyle w:val="Normal"/>
      </w:pPr>
      <w:r>
        <w:t xml:space="preserve">Fenster- und Türelemente bei der Montage positionieren und ausrichten</w:t>
      </w:r>
    </w:p>
    <w:p>
      <w:pPr>
        <w:pStyle w:val="Normal"/>
      </w:pPr>
      <w:r>
        <w:t xml:space="preserve"/>
      </w:r>
    </w:p>
    <w:p>
      <w:pPr>
        <w:pStyle w:val="Normal"/>
      </w:pPr>
      <w:r>
        <w:t xml:space="preserve">Fenster- bzw. Türelement in der Bauöffnung mit einer geeigneten Montagehilfe kontrolliert positionieren und stufenlos ausrichten.</w:t>
      </w:r>
    </w:p>
    <w:p>
      <w:pPr>
        <w:pStyle w:val="Normal"/>
      </w:pPr>
      <w:r>
        <w:t xml:space="preserve"/>
      </w:r>
    </w:p>
    <w:p>
      <w:pPr>
        <w:pStyle w:val="Normal"/>
      </w:pPr>
      <w:r>
        <w:t xml:space="preserve">Montagehilfe so einsetzen, dass das Element während Ausrichtung und Befestigung sicher gehalten wird und die Anschlussfuge für die weiteren Arbeitsschritte frei zugänglich bleibt. Nach erfolgter mechanischer Befestigung ist die Montagehilfe wieder zu entfernen.</w:t>
      </w:r>
    </w:p>
    <w:p>
      <w:pPr>
        <w:pStyle w:val="Normal"/>
      </w:pPr>
      <w:r>
        <w:t xml:space="preserve"/>
      </w:r>
    </w:p>
    <w:p>
      <w:pPr>
        <w:pStyle w:val="Normal"/>
      </w:pPr>
      <w:r>
        <w:t xml:space="preserve">Technische Merkmale der TOPFORM Fenstermontagehilfe:</w:t>
      </w:r>
    </w:p>
    <w:p>
      <w:pPr>
        <w:pStyle w:val="Normal"/>
      </w:pPr>
      <w:r>
        <w:t xml:space="preserve">- faserverstärkter Kunststoff</w:t>
      </w:r>
    </w:p>
    <w:p>
      <w:pPr>
        <w:pStyle w:val="Normal"/>
      </w:pPr>
      <w:r>
        <w:t xml:space="preserve">- Tragkraft bis 90 kg</w:t>
      </w:r>
    </w:p>
    <w:p>
      <w:pPr>
        <w:pStyle w:val="Normal"/>
      </w:pPr>
      <w:r>
        <w:t xml:space="preserve">- stufenloses Einpassen von Fensterelementen</w:t>
      </w:r>
    </w:p>
    <w:p>
      <w:pPr>
        <w:pStyle w:val="Normal"/>
      </w:pPr>
      <w:r>
        <w:t xml:space="preserve">- Anschlussfuge bleibt frei</w:t>
      </w:r>
    </w:p>
    <w:p>
      <w:pPr>
        <w:pStyle w:val="Normal"/>
      </w:pPr>
      <w:r>
        <w:t xml:space="preserve">- keine Keillöcher und dadurch keine entsprechende Nachbearbeitung</w:t>
      </w:r>
    </w:p>
    <w:p>
      <w:pPr>
        <w:pStyle w:val="Normal"/>
      </w:pPr>
      <w:r>
        <w:t xml:space="preserve">- wiederverwendbar</w:t>
      </w:r>
    </w:p>
    <w:p>
      <w:pPr>
        <w:pStyle w:val="Normal"/>
      </w:pPr>
      <w:r>
        <w:t xml:space="preserve">- ermöglicht spannungsfreie Bewegung des Fensters während der Positionierung</w:t>
      </w:r>
    </w:p>
    <w:p>
      <w:pPr>
        <w:pStyle w:val="Normal"/>
      </w:pPr>
      <w:r>
        <w:t xml:space="preserve"/>
      </w:r>
    </w:p>
    <w:p>
      <w:pPr>
        <w:pStyle w:val="Normal"/>
      </w:pPr>
      <w:r>
        <w:t xml:space="preserve">Produktvorschlag:</w:t>
      </w:r>
    </w:p>
    <w:p>
      <w:pPr>
        <w:pStyle w:val="Normal"/>
      </w:pPr>
      <w:r>
        <w:t xml:space="preserve">TOPFORM Fenstermontagehilfe / Fenstermontagekissen oder gleichwertig.</w:t>
      </w:r>
    </w:p>
    <w:p>
      <w:pPr>
        <w:pStyle w:val="Normal"/>
      </w:pPr>
      <w:r>
        <w:t xml:space="preserve"/>
      </w:r>
    </w:p>
    <w:p>
      <w:pPr>
        <w:pStyle w:val="Normal"/>
      </w:pPr>
      <w:r>
        <w:t xml:space="preserve">Die Montagehilfe ersetzt nicht die dauerhafte Lastabtragung und mechanische Befestigung des Elements.</w:t>
      </w:r>
    </w:p>
    <w:p>
      <w:pPr>
        <w:pStyle w:val="Heading1"/>
      </w:pPr>
      <w:r>
        <w:t xml:space="preserve">Passende TOPFORM Produktfamilien</w:t>
      </w:r>
    </w:p>
    <w:p>
      <w:pPr>
        <w:pStyle w:val="Normal"/>
      </w:pPr>
      <w:r>
        <w:t xml:space="preserve">• Montagehilfen</w:t>
      </w:r>
    </w:p>
    <w:sectPr>
      <w:pgSz w:w="11906" w:h="16838"/>
      <w:pgMar w:top="1134" w:right="1134" w:bottom="1134" w:left="1134"/>
    </w:sectPr>
  </w:body>
</w:document>
</file>

<file path=word/styles.xml><?xml version="1.0" encoding="utf-8"?>
<w:styles xmlns:w="http://schemas.openxmlformats.org/wordprocessingml/2006/main">
  <w:style w:type="paragraph" w:default="1" w:styleId="Normal">
    <w:name w:val="Normal"/>
    <w:rPr>
      <w:rFonts w:ascii="Arial" w:hAnsi="Arial"/>
      <w:sz w:val="22"/>
    </w:rPr>
  </w:style>
  <w:style w:type="paragraph" w:styleId="Title">
    <w:name w:val="Title"/>
    <w:rPr>
      <w:b/>
      <w:rFonts w:ascii="Arial" w:hAnsi="Arial"/>
      <w:sz w:val="34"/>
    </w:rPr>
  </w:style>
  <w:style w:type="paragraph" w:styleId="Heading1">
    <w:name w:val="heading 1"/>
    <w:rPr>
      <w:b/>
      <w:rFonts w:ascii="Arial" w:hAnsi="Arial"/>
      <w:sz w:val="2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